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4CFBB940" w:rsidR="00D10729" w:rsidRPr="00971021" w:rsidRDefault="00BB3BEF" w:rsidP="006A27C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603C5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Discussion </w:t>
      </w:r>
      <w:r w:rsidR="00746BA2" w:rsidRPr="005603C5">
        <w:rPr>
          <w:rFonts w:ascii="Times New Roman" w:hAnsi="Times New Roman" w:cs="Times New Roman"/>
          <w:sz w:val="28"/>
          <w:szCs w:val="28"/>
          <w:highlight w:val="yellow"/>
          <w:u w:val="single"/>
        </w:rPr>
        <w:t>4</w:t>
      </w:r>
      <w:r w:rsidRPr="005603C5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</w:t>
      </w:r>
      <w:r w:rsidR="005603C5" w:rsidRPr="005603C5">
        <w:rPr>
          <w:rFonts w:ascii="Times New Roman" w:hAnsi="Times New Roman" w:cs="Times New Roman"/>
          <w:sz w:val="28"/>
          <w:szCs w:val="28"/>
          <w:highlight w:val="yellow"/>
          <w:u w:val="single"/>
        </w:rPr>
        <w:t>CASES FOR CONSTITUTIONAL LAW DISCUSSION</w:t>
      </w:r>
      <w:r w:rsidR="005603C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CD49895" w14:textId="29079B37" w:rsidR="00BB3BEF" w:rsidRDefault="00BB3BEF" w:rsidP="00BB3BEF">
      <w:pPr>
        <w:rPr>
          <w:rFonts w:ascii="Times New Roman" w:hAnsi="Times New Roman" w:cs="Times New Roman"/>
          <w:sz w:val="18"/>
          <w:szCs w:val="18"/>
        </w:rPr>
      </w:pPr>
    </w:p>
    <w:p w14:paraId="37716E58" w14:textId="4A088C28" w:rsidR="00E71589" w:rsidRDefault="00E71589" w:rsidP="0029553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CCDA403" w14:textId="77777777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>, Jacqueline R., Constitutional Law for Criminal Justice, Chapter 6, pp. 328 -365</w:t>
      </w:r>
    </w:p>
    <w:p w14:paraId="0819F71D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160E7F5A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6729B5DA" w14:textId="6FFE9E5E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 xml:space="preserve">Arizona v. </w:t>
      </w:r>
      <w:proofErr w:type="spellStart"/>
      <w:r w:rsidRPr="005603C5">
        <w:rPr>
          <w:rFonts w:ascii="Times New Roman" w:hAnsi="Times New Roman" w:cs="Times New Roman"/>
          <w:color w:val="C00000"/>
        </w:rPr>
        <w:t>Fuminante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(1991), pp. 675 – 676</w:t>
      </w:r>
    </w:p>
    <w:p w14:paraId="46324D61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12CF4C4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Kaupp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Texas (2003), pp. 676 – 677</w:t>
      </w:r>
    </w:p>
    <w:p w14:paraId="35ADB83A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648155A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Miranda v. Arizona (1966), pp. 677 – 685</w:t>
      </w:r>
    </w:p>
    <w:p w14:paraId="50BF8D3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5F99042B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Berkemer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McCarty (1984), pp. 685 – 687</w:t>
      </w:r>
    </w:p>
    <w:p w14:paraId="0C41BE44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512CE59C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Berghuis v. Thompkins (2010), pp. 694 – 697</w:t>
      </w:r>
    </w:p>
    <w:p w14:paraId="4271604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128725AA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Davis v. U. S. (1994), pp. 697 - 698</w:t>
      </w:r>
    </w:p>
    <w:p w14:paraId="65BCA221" w14:textId="77777777" w:rsidR="005603C5" w:rsidRPr="005603C5" w:rsidRDefault="005603C5" w:rsidP="005603C5">
      <w:pPr>
        <w:rPr>
          <w:rFonts w:ascii="Times New Roman" w:hAnsi="Times New Roman" w:cs="Times New Roman"/>
        </w:rPr>
      </w:pPr>
    </w:p>
    <w:p w14:paraId="10A4AEBF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 xml:space="preserve"> </w:t>
      </w:r>
    </w:p>
    <w:p w14:paraId="156F7D52" w14:textId="77777777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>, Jacqueline R., Constitutional Law for Criminal Justice, Chapter 7, pp. 377 - 400</w:t>
      </w:r>
    </w:p>
    <w:p w14:paraId="712760DE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1D2C0D0A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0EBC19B1" w14:textId="45385545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Missouri v. McNeely (2013), pp. 709 – 713</w:t>
      </w:r>
    </w:p>
    <w:p w14:paraId="61324449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60728C12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Maryland v. King (2013), pp. 713 – 717</w:t>
      </w:r>
    </w:p>
    <w:p w14:paraId="2574696E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7DFD6119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Florence v. Board of Chosen Freeholders (2012), pp. 717 - 720</w:t>
      </w:r>
    </w:p>
    <w:p w14:paraId="7C82E880" w14:textId="77777777" w:rsidR="005603C5" w:rsidRPr="005603C5" w:rsidRDefault="005603C5" w:rsidP="005603C5">
      <w:pPr>
        <w:rPr>
          <w:rFonts w:ascii="Times New Roman" w:hAnsi="Times New Roman" w:cs="Times New Roman"/>
        </w:rPr>
      </w:pPr>
    </w:p>
    <w:p w14:paraId="451E7069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 xml:space="preserve"> </w:t>
      </w:r>
    </w:p>
    <w:p w14:paraId="7D96C541" w14:textId="77777777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>, Jacqueline R., Constitutional Law for Criminal Justice, Chapter 8, pp. 409 – 428</w:t>
      </w:r>
    </w:p>
    <w:p w14:paraId="1C1A45FA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2ADE0123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36FB48EF" w14:textId="3DFCEB5C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Gideon v. Wainwright (1963), pp. 721 – 723</w:t>
      </w:r>
    </w:p>
    <w:p w14:paraId="6129CCBE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1BA07FA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 xml:space="preserve">State v. </w:t>
      </w:r>
      <w:proofErr w:type="spellStart"/>
      <w:r w:rsidRPr="005603C5">
        <w:rPr>
          <w:rFonts w:ascii="Times New Roman" w:hAnsi="Times New Roman" w:cs="Times New Roman"/>
          <w:color w:val="C00000"/>
        </w:rPr>
        <w:t>Quattlebaum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(2000), pp. 729 – 730</w:t>
      </w:r>
    </w:p>
    <w:p w14:paraId="774DC8FC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7E2468E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U.S. v. Downs (2000), 7th Cir., pp. 730 - 732</w:t>
      </w:r>
    </w:p>
    <w:p w14:paraId="55D93B69" w14:textId="77777777" w:rsidR="005603C5" w:rsidRPr="005603C5" w:rsidRDefault="005603C5" w:rsidP="005603C5">
      <w:pPr>
        <w:rPr>
          <w:rFonts w:ascii="Times New Roman" w:hAnsi="Times New Roman" w:cs="Times New Roman"/>
        </w:rPr>
      </w:pPr>
    </w:p>
    <w:p w14:paraId="70B17D2C" w14:textId="77777777" w:rsid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 xml:space="preserve"> </w:t>
      </w:r>
    </w:p>
    <w:p w14:paraId="111D4886" w14:textId="355A9FCE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>, Jacqueline R., Constitutional Law for Criminal Justice, Chapter 9, pp. 437 - 476</w:t>
      </w:r>
    </w:p>
    <w:p w14:paraId="2B73EEE2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6EAC961E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19A02DE8" w14:textId="21DE77F4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Coker v. Georgia (1977), pp. 739 - 741</w:t>
      </w:r>
    </w:p>
    <w:p w14:paraId="310DD84A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7B2F572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Kennedy v. Louisiana (provided)</w:t>
      </w:r>
    </w:p>
    <w:p w14:paraId="622F4134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49E55BCE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Kyles v. Whitley (1995), pp. 734 – 736</w:t>
      </w:r>
    </w:p>
    <w:p w14:paraId="7EFFC799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359929A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 xml:space="preserve">People v. Wright (1995), </w:t>
      </w:r>
      <w:proofErr w:type="spellStart"/>
      <w:r w:rsidRPr="005603C5">
        <w:rPr>
          <w:rFonts w:ascii="Times New Roman" w:hAnsi="Times New Roman" w:cs="Times New Roman"/>
          <w:color w:val="C00000"/>
        </w:rPr>
        <w:t>NYCt</w:t>
      </w:r>
      <w:proofErr w:type="spellEnd"/>
      <w:r w:rsidRPr="005603C5">
        <w:rPr>
          <w:rFonts w:ascii="Times New Roman" w:hAnsi="Times New Roman" w:cs="Times New Roman"/>
          <w:color w:val="C00000"/>
        </w:rPr>
        <w:t>., pp. 736 – 737</w:t>
      </w:r>
    </w:p>
    <w:p w14:paraId="4FDFA2E4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5178D9A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Arizona v. Youngblood (1988), pp. 738 -739</w:t>
      </w:r>
    </w:p>
    <w:p w14:paraId="24428076" w14:textId="77777777" w:rsidR="005603C5" w:rsidRPr="005603C5" w:rsidRDefault="005603C5" w:rsidP="005603C5">
      <w:pPr>
        <w:rPr>
          <w:rFonts w:ascii="Times New Roman" w:hAnsi="Times New Roman" w:cs="Times New Roman"/>
        </w:rPr>
      </w:pPr>
    </w:p>
    <w:p w14:paraId="068D5D10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3C608795" w14:textId="4F7CEC98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 xml:space="preserve">, Jacqueline R., Constitutional Law for Criminal </w:t>
      </w:r>
      <w:proofErr w:type="spellStart"/>
      <w:r w:rsidRPr="005603C5">
        <w:rPr>
          <w:rFonts w:ascii="Times New Roman" w:hAnsi="Times New Roman" w:cs="Times New Roman"/>
        </w:rPr>
        <w:t>Justice,Chapter</w:t>
      </w:r>
      <w:proofErr w:type="spellEnd"/>
      <w:r w:rsidRPr="005603C5">
        <w:rPr>
          <w:rFonts w:ascii="Times New Roman" w:hAnsi="Times New Roman" w:cs="Times New Roman"/>
        </w:rPr>
        <w:t xml:space="preserve"> 10, pp. 408 – 513</w:t>
      </w:r>
    </w:p>
    <w:p w14:paraId="5E3E2A95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40F07DF0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11F46C99" w14:textId="6E07EBDD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Vose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</w:t>
      </w:r>
      <w:proofErr w:type="spellStart"/>
      <w:r w:rsidRPr="005603C5">
        <w:rPr>
          <w:rFonts w:ascii="Times New Roman" w:hAnsi="Times New Roman" w:cs="Times New Roman"/>
          <w:color w:val="C00000"/>
        </w:rPr>
        <w:t>Kliment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(2007), 7th Cir., pp. 745 – 747</w:t>
      </w:r>
    </w:p>
    <w:p w14:paraId="68F6F49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6511F183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Locurto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Giuliani (2006), 2nd Cir., pp. 749 – 750</w:t>
      </w:r>
    </w:p>
    <w:p w14:paraId="7C6B1251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32AAA490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Gwynn v. City of Philadelphia (2013), 3rd Cir., pp. 750 – 753</w:t>
      </w:r>
    </w:p>
    <w:p w14:paraId="5777FAF5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30E37042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Lingler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</w:t>
      </w:r>
      <w:proofErr w:type="spellStart"/>
      <w:r w:rsidRPr="005603C5">
        <w:rPr>
          <w:rFonts w:ascii="Times New Roman" w:hAnsi="Times New Roman" w:cs="Times New Roman"/>
          <w:color w:val="C00000"/>
        </w:rPr>
        <w:t>Fechko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(2002), 6th Cir., pp. 753 - 754</w:t>
      </w:r>
    </w:p>
    <w:p w14:paraId="205652FE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2ABAAAE6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Ricci v. DeStefano (2009), pp. 754 – 757</w:t>
      </w:r>
    </w:p>
    <w:p w14:paraId="563AFE1D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30338018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proofErr w:type="spellStart"/>
      <w:r w:rsidRPr="005603C5">
        <w:rPr>
          <w:rFonts w:ascii="Times New Roman" w:hAnsi="Times New Roman" w:cs="Times New Roman"/>
          <w:color w:val="C00000"/>
        </w:rPr>
        <w:t>Desardouin</w:t>
      </w:r>
      <w:proofErr w:type="spellEnd"/>
      <w:r w:rsidRPr="005603C5">
        <w:rPr>
          <w:rFonts w:ascii="Times New Roman" w:hAnsi="Times New Roman" w:cs="Times New Roman"/>
          <w:color w:val="C00000"/>
        </w:rPr>
        <w:t xml:space="preserve"> v. City of Rochester (2013), 2nd Cir., pp. 757 – 758</w:t>
      </w:r>
    </w:p>
    <w:p w14:paraId="42C5DF3A" w14:textId="77777777" w:rsidR="005603C5" w:rsidRPr="005603C5" w:rsidRDefault="005603C5" w:rsidP="005603C5">
      <w:pPr>
        <w:rPr>
          <w:rFonts w:ascii="Times New Roman" w:hAnsi="Times New Roman" w:cs="Times New Roman"/>
        </w:rPr>
      </w:pPr>
    </w:p>
    <w:p w14:paraId="3C118AFD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 xml:space="preserve"> </w:t>
      </w:r>
    </w:p>
    <w:p w14:paraId="167EDC15" w14:textId="77777777" w:rsidR="005603C5" w:rsidRPr="005603C5" w:rsidRDefault="005603C5" w:rsidP="005603C5">
      <w:pPr>
        <w:rPr>
          <w:rFonts w:ascii="Times New Roman" w:hAnsi="Times New Roman" w:cs="Times New Roman"/>
        </w:rPr>
      </w:pPr>
      <w:proofErr w:type="spellStart"/>
      <w:r w:rsidRPr="005603C5">
        <w:rPr>
          <w:rFonts w:ascii="Times New Roman" w:hAnsi="Times New Roman" w:cs="Times New Roman"/>
        </w:rPr>
        <w:t>Kanovitz</w:t>
      </w:r>
      <w:proofErr w:type="spellEnd"/>
      <w:r w:rsidRPr="005603C5">
        <w:rPr>
          <w:rFonts w:ascii="Times New Roman" w:hAnsi="Times New Roman" w:cs="Times New Roman"/>
        </w:rPr>
        <w:t>, Jacqueline R., Constitutional Law for Criminal Justice, Chapter 10, pp. 514 – 518</w:t>
      </w:r>
    </w:p>
    <w:p w14:paraId="1BCDD13F" w14:textId="77777777" w:rsidR="005603C5" w:rsidRPr="005603C5" w:rsidRDefault="005603C5" w:rsidP="005603C5">
      <w:pPr>
        <w:rPr>
          <w:rFonts w:ascii="Times New Roman" w:hAnsi="Times New Roman" w:cs="Times New Roman"/>
        </w:rPr>
      </w:pPr>
      <w:r w:rsidRPr="005603C5">
        <w:rPr>
          <w:rFonts w:ascii="Times New Roman" w:hAnsi="Times New Roman" w:cs="Times New Roman"/>
        </w:rPr>
        <w:t>All cases are reprinted in your textbook in Part II, “Judicial Decisions and Statutes.” Opinions are U.S. Supreme Court cases unless otherwise noted:</w:t>
      </w:r>
    </w:p>
    <w:p w14:paraId="0638B83D" w14:textId="77777777" w:rsidR="005603C5" w:rsidRDefault="005603C5" w:rsidP="005603C5">
      <w:pPr>
        <w:rPr>
          <w:rFonts w:ascii="Times New Roman" w:hAnsi="Times New Roman" w:cs="Times New Roman"/>
        </w:rPr>
      </w:pPr>
    </w:p>
    <w:p w14:paraId="41E11988" w14:textId="651C3561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Rogers v. City of Little Rock (1998), 8th Cir., pp. 758 – 759</w:t>
      </w:r>
    </w:p>
    <w:p w14:paraId="739D405C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72BAEDF9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 xml:space="preserve">Ortega v. City and County of Denver (2013) </w:t>
      </w:r>
      <w:proofErr w:type="spellStart"/>
      <w:r w:rsidRPr="005603C5">
        <w:rPr>
          <w:rFonts w:ascii="Times New Roman" w:hAnsi="Times New Roman" w:cs="Times New Roman"/>
          <w:color w:val="C00000"/>
        </w:rPr>
        <w:t>D.Colo</w:t>
      </w:r>
      <w:proofErr w:type="spellEnd"/>
      <w:r w:rsidRPr="005603C5">
        <w:rPr>
          <w:rFonts w:ascii="Times New Roman" w:hAnsi="Times New Roman" w:cs="Times New Roman"/>
          <w:color w:val="C00000"/>
        </w:rPr>
        <w:t>., pp. 759 – 761</w:t>
      </w:r>
    </w:p>
    <w:p w14:paraId="084860AC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</w:p>
    <w:p w14:paraId="4F00C4F8" w14:textId="77777777" w:rsidR="005603C5" w:rsidRPr="005603C5" w:rsidRDefault="005603C5" w:rsidP="005603C5">
      <w:pPr>
        <w:rPr>
          <w:rFonts w:ascii="Times New Roman" w:hAnsi="Times New Roman" w:cs="Times New Roman"/>
          <w:color w:val="C00000"/>
        </w:rPr>
      </w:pPr>
      <w:r w:rsidRPr="005603C5">
        <w:rPr>
          <w:rFonts w:ascii="Times New Roman" w:hAnsi="Times New Roman" w:cs="Times New Roman"/>
          <w:color w:val="C00000"/>
        </w:rPr>
        <w:t>Yang v. Hardin (1994), 7th Cir., pp. 761 – 762</w:t>
      </w:r>
    </w:p>
    <w:p w14:paraId="1E0376B7" w14:textId="11B7B0A8" w:rsidR="00D10729" w:rsidRDefault="005B1D04" w:rsidP="005603C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</w:t>
      </w:r>
      <w:r w:rsidR="00A06E7C">
        <w:rPr>
          <w:rFonts w:ascii="Times New Roman" w:hAnsi="Times New Roman" w:cs="Times New Roman"/>
          <w:u w:val="single"/>
        </w:rPr>
        <w:t>________________</w:t>
      </w:r>
    </w:p>
    <w:p w14:paraId="074A7866" w14:textId="66BEC353" w:rsidR="00061B58" w:rsidRPr="00CF033E" w:rsidRDefault="00061B58" w:rsidP="00E71589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061B58" w:rsidRPr="00CF033E" w:rsidSect="00F45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61B58"/>
    <w:rsid w:val="000C381A"/>
    <w:rsid w:val="000E71C4"/>
    <w:rsid w:val="00125E0E"/>
    <w:rsid w:val="0014644C"/>
    <w:rsid w:val="00295535"/>
    <w:rsid w:val="002B11F8"/>
    <w:rsid w:val="003D16AD"/>
    <w:rsid w:val="003E59FC"/>
    <w:rsid w:val="003E7456"/>
    <w:rsid w:val="00400838"/>
    <w:rsid w:val="004132B4"/>
    <w:rsid w:val="005219FA"/>
    <w:rsid w:val="005603C5"/>
    <w:rsid w:val="005B1D04"/>
    <w:rsid w:val="005E2B1D"/>
    <w:rsid w:val="006802E5"/>
    <w:rsid w:val="006A27CA"/>
    <w:rsid w:val="006B14CA"/>
    <w:rsid w:val="006B26BF"/>
    <w:rsid w:val="00727718"/>
    <w:rsid w:val="00736DBF"/>
    <w:rsid w:val="00746BA2"/>
    <w:rsid w:val="007D0910"/>
    <w:rsid w:val="00811000"/>
    <w:rsid w:val="008C5DAA"/>
    <w:rsid w:val="00971021"/>
    <w:rsid w:val="0099089E"/>
    <w:rsid w:val="009A0317"/>
    <w:rsid w:val="00A06E7C"/>
    <w:rsid w:val="00A27305"/>
    <w:rsid w:val="00A36FAB"/>
    <w:rsid w:val="00BB3BEF"/>
    <w:rsid w:val="00C81F8D"/>
    <w:rsid w:val="00CF033E"/>
    <w:rsid w:val="00CF4429"/>
    <w:rsid w:val="00D10729"/>
    <w:rsid w:val="00DB2693"/>
    <w:rsid w:val="00E27CF1"/>
    <w:rsid w:val="00E71589"/>
    <w:rsid w:val="00EF045D"/>
    <w:rsid w:val="00F45E09"/>
    <w:rsid w:val="00F56140"/>
    <w:rsid w:val="00F6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7158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132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Microsoft Office User</cp:lastModifiedBy>
  <cp:revision>2</cp:revision>
  <dcterms:created xsi:type="dcterms:W3CDTF">2020-05-11T10:14:00Z</dcterms:created>
  <dcterms:modified xsi:type="dcterms:W3CDTF">2020-05-11T10:14:00Z</dcterms:modified>
</cp:coreProperties>
</file>